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40D7A157" w14:textId="77777777" w:rsidR="00BF1E98" w:rsidRPr="00BF1E98" w:rsidRDefault="00BF1E98" w:rsidP="00BF1E98">
                            <w:pPr>
                              <w:rPr>
                                <w:rFonts w:ascii="Arial" w:hAnsi="Arial" w:cs="Arial"/>
                                <w:sz w:val="22"/>
                                <w:szCs w:val="22"/>
                                <w:lang w:val="en-AU"/>
                              </w:rPr>
                            </w:pPr>
                            <w:r w:rsidRPr="00BF1E98">
                              <w:rPr>
                                <w:rFonts w:ascii="Arial" w:hAnsi="Arial" w:cs="Arial"/>
                                <w:sz w:val="22"/>
                                <w:szCs w:val="22"/>
                                <w:lang w:val="en-AU"/>
                              </w:rPr>
                              <w:t>Tailings Dam Surveillance Programs – Needs, Concepts and Current Trends</w:t>
                            </w:r>
                          </w:p>
                          <w:p w14:paraId="38A50B74" w14:textId="07C28C7E" w:rsidR="006C6E71" w:rsidRPr="006C6E71" w:rsidRDefault="006C6E71">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40D7A157" w14:textId="77777777" w:rsidR="00BF1E98" w:rsidRPr="00BF1E98" w:rsidRDefault="00BF1E98" w:rsidP="00BF1E98">
                      <w:pPr>
                        <w:rPr>
                          <w:rFonts w:ascii="Arial" w:hAnsi="Arial" w:cs="Arial"/>
                          <w:sz w:val="22"/>
                          <w:szCs w:val="22"/>
                          <w:lang w:val="en-AU"/>
                        </w:rPr>
                      </w:pPr>
                      <w:r w:rsidRPr="00BF1E98">
                        <w:rPr>
                          <w:rFonts w:ascii="Arial" w:hAnsi="Arial" w:cs="Arial"/>
                          <w:sz w:val="22"/>
                          <w:szCs w:val="22"/>
                          <w:lang w:val="en-AU"/>
                        </w:rPr>
                        <w:t>Tailings Dam Surveillance Programs – Needs, Concepts and Current Trends</w:t>
                      </w:r>
                    </w:p>
                    <w:p w14:paraId="38A50B74" w14:textId="07C28C7E" w:rsidR="006C6E71" w:rsidRPr="006C6E71" w:rsidRDefault="006C6E71">
                      <w:pPr>
                        <w:rPr>
                          <w:rFonts w:ascii="Arial" w:hAnsi="Arial" w:cs="Arial"/>
                          <w:sz w:val="22"/>
                          <w:szCs w:val="22"/>
                        </w:rPr>
                      </w:pP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8E403E"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u w:val="single"/>
          <w14:ligatures w14:val="none"/>
        </w:rPr>
      </w:pPr>
      <w:r w:rsidRPr="008E403E">
        <w:rPr>
          <w:rFonts w:ascii="Calibri" w:eastAsia="Times New Roman" w:hAnsi="Calibri" w:cs="Calibri"/>
          <w:b/>
          <w:bCs/>
          <w:i/>
          <w:iCs/>
          <w:color w:val="333333"/>
          <w:kern w:val="0"/>
          <w:sz w:val="22"/>
          <w:szCs w:val="22"/>
          <w:u w:val="single"/>
          <w14:ligatures w14:val="none"/>
        </w:rPr>
        <w:t>Dam Safety Policy and Governance</w:t>
      </w:r>
    </w:p>
    <w:p w14:paraId="1F8BC732"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CA319FE" w14:textId="5BE8AB95" w:rsidR="006B22D2" w:rsidRPr="003C5B90" w:rsidRDefault="006B22D2" w:rsidP="006B22D2">
                            <w:pPr>
                              <w:rPr>
                                <w:rFonts w:ascii="Arial" w:hAnsi="Arial" w:cs="Arial"/>
                                <w:sz w:val="22"/>
                                <w:szCs w:val="22"/>
                                <w:lang w:val="en-AU"/>
                              </w:rPr>
                            </w:pPr>
                            <w:r w:rsidRPr="003C5B90">
                              <w:rPr>
                                <w:rFonts w:ascii="Arial" w:hAnsi="Arial" w:cs="Arial"/>
                                <w:sz w:val="22"/>
                                <w:szCs w:val="22"/>
                                <w:lang w:val="en-AU"/>
                              </w:rPr>
                              <w:t>Caius Priscu</w:t>
                            </w:r>
                            <w:r>
                              <w:rPr>
                                <w:rFonts w:ascii="Arial" w:hAnsi="Arial" w:cs="Arial"/>
                                <w:sz w:val="22"/>
                                <w:szCs w:val="22"/>
                                <w:lang w:val="en-AU"/>
                              </w:rPr>
                              <w:t>, Priscu and Associates, Lake Country, BC, Canada, +1(604) 839 4237</w:t>
                            </w:r>
                            <w:r w:rsidR="00DD4F2E">
                              <w:rPr>
                                <w:rFonts w:ascii="Arial" w:hAnsi="Arial" w:cs="Arial"/>
                                <w:sz w:val="22"/>
                                <w:szCs w:val="22"/>
                                <w:lang w:val="en-AU"/>
                              </w:rPr>
                              <w:t xml:space="preserve">; </w:t>
                            </w:r>
                            <w:r w:rsidR="00DD4F2E" w:rsidRPr="00DD4F2E">
                              <w:rPr>
                                <w:rFonts w:ascii="Arial" w:hAnsi="Arial" w:cs="Arial"/>
                                <w:sz w:val="22"/>
                                <w:szCs w:val="22"/>
                                <w:lang w:val="en-AU"/>
                              </w:rPr>
                              <w:t>CPriscu@priscuengineers.com</w:t>
                            </w:r>
                          </w:p>
                          <w:p w14:paraId="0C117074" w14:textId="45FF21C9" w:rsidR="002C2B73" w:rsidRPr="006C6E71" w:rsidRDefault="002C2B73" w:rsidP="00A80B7E">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7CA319FE" w14:textId="5BE8AB95" w:rsidR="006B22D2" w:rsidRPr="003C5B90" w:rsidRDefault="006B22D2" w:rsidP="006B22D2">
                      <w:pPr>
                        <w:rPr>
                          <w:rFonts w:ascii="Arial" w:hAnsi="Arial" w:cs="Arial"/>
                          <w:sz w:val="22"/>
                          <w:szCs w:val="22"/>
                          <w:lang w:val="en-AU"/>
                        </w:rPr>
                      </w:pPr>
                      <w:r w:rsidRPr="003C5B90">
                        <w:rPr>
                          <w:rFonts w:ascii="Arial" w:hAnsi="Arial" w:cs="Arial"/>
                          <w:sz w:val="22"/>
                          <w:szCs w:val="22"/>
                          <w:lang w:val="en-AU"/>
                        </w:rPr>
                        <w:t>Caius Priscu</w:t>
                      </w:r>
                      <w:r>
                        <w:rPr>
                          <w:rFonts w:ascii="Arial" w:hAnsi="Arial" w:cs="Arial"/>
                          <w:sz w:val="22"/>
                          <w:szCs w:val="22"/>
                          <w:lang w:val="en-AU"/>
                        </w:rPr>
                        <w:t>, Priscu and Associates, Lake Country, BC, Canada, +1(604) 839 4237</w:t>
                      </w:r>
                      <w:r w:rsidR="00DD4F2E">
                        <w:rPr>
                          <w:rFonts w:ascii="Arial" w:hAnsi="Arial" w:cs="Arial"/>
                          <w:sz w:val="22"/>
                          <w:szCs w:val="22"/>
                          <w:lang w:val="en-AU"/>
                        </w:rPr>
                        <w:t xml:space="preserve">; </w:t>
                      </w:r>
                      <w:r w:rsidR="00DD4F2E" w:rsidRPr="00DD4F2E">
                        <w:rPr>
                          <w:rFonts w:ascii="Arial" w:hAnsi="Arial" w:cs="Arial"/>
                          <w:sz w:val="22"/>
                          <w:szCs w:val="22"/>
                          <w:lang w:val="en-AU"/>
                        </w:rPr>
                        <w:t>CPriscu@priscuengineers.com</w:t>
                      </w:r>
                    </w:p>
                    <w:p w14:paraId="0C117074" w14:textId="45FF21C9" w:rsidR="002C2B73" w:rsidRPr="006C6E71" w:rsidRDefault="002C2B73" w:rsidP="00A80B7E">
                      <w:pPr>
                        <w:rPr>
                          <w:rFonts w:ascii="Arial" w:hAnsi="Arial" w:cs="Arial"/>
                          <w:sz w:val="22"/>
                          <w:szCs w:val="22"/>
                        </w:rPr>
                      </w:pP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w:t>
      </w:r>
      <w:r w:rsidR="003B2EAF" w:rsidRPr="00EB3279">
        <w:rPr>
          <w:rFonts w:ascii="Arial" w:hAnsi="Arial" w:cs="Arial"/>
          <w:b/>
          <w:bCs/>
          <w:i/>
          <w:iCs/>
          <w:sz w:val="22"/>
          <w:szCs w:val="22"/>
          <w:u w:val="single"/>
        </w:rPr>
        <w:t>NO</w:t>
      </w:r>
      <w:r w:rsidR="003B2EAF">
        <w:rPr>
          <w:rFonts w:ascii="Arial" w:hAnsi="Arial" w:cs="Arial"/>
          <w:sz w:val="22"/>
          <w:szCs w:val="22"/>
        </w:rPr>
        <w:t xml:space="preserve">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3E70667C" w14:textId="77777777" w:rsidR="006B22D2" w:rsidRPr="006C6E71" w:rsidRDefault="006B22D2" w:rsidP="006B22D2">
                            <w:pPr>
                              <w:rPr>
                                <w:rFonts w:ascii="Arial" w:hAnsi="Arial" w:cs="Arial"/>
                                <w:sz w:val="22"/>
                                <w:szCs w:val="22"/>
                              </w:rPr>
                            </w:pPr>
                            <w:r>
                              <w:rPr>
                                <w:rFonts w:ascii="Arial" w:hAnsi="Arial" w:cs="Arial"/>
                                <w:sz w:val="22"/>
                                <w:szCs w:val="22"/>
                              </w:rPr>
                              <w:t>Theo Gerritsen, BGC Engineering, Merivale Street, South Brisbane, Australia, +61(0)448068912; TGerritsen@BGCengineering.ca</w:t>
                            </w:r>
                          </w:p>
                          <w:p w14:paraId="4BF444D3" w14:textId="1E0C0B78"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3E70667C" w14:textId="77777777" w:rsidR="006B22D2" w:rsidRPr="006C6E71" w:rsidRDefault="006B22D2" w:rsidP="006B22D2">
                      <w:pPr>
                        <w:rPr>
                          <w:rFonts w:ascii="Arial" w:hAnsi="Arial" w:cs="Arial"/>
                          <w:sz w:val="22"/>
                          <w:szCs w:val="22"/>
                        </w:rPr>
                      </w:pPr>
                      <w:r>
                        <w:rPr>
                          <w:rFonts w:ascii="Arial" w:hAnsi="Arial" w:cs="Arial"/>
                          <w:sz w:val="22"/>
                          <w:szCs w:val="22"/>
                        </w:rPr>
                        <w:t>Theo Gerritsen, BGC Engineering, Merivale Street, South Brisbane, Australia, +61(0)448068912; TGerritsen@BGCengineering.ca</w:t>
                      </w:r>
                    </w:p>
                    <w:p w14:paraId="4BF444D3" w14:textId="1E0C0B78" w:rsidR="002C2B73" w:rsidRPr="006C6E71" w:rsidRDefault="002C2B73" w:rsidP="002C2B73">
                      <w:pPr>
                        <w:rPr>
                          <w:rFonts w:ascii="Arial" w:hAnsi="Arial" w:cs="Arial"/>
                          <w:sz w:val="22"/>
                          <w:szCs w:val="22"/>
                        </w:rPr>
                      </w:pP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77777777" w:rsidR="002C2B73" w:rsidRPr="006C6E71" w:rsidRDefault="002C2B73" w:rsidP="002C2B73">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Default="003B2EAF" w:rsidP="003B2EAF">
      <w:pPr>
        <w:ind w:left="144" w:right="144"/>
        <w:rPr>
          <w:rFonts w:ascii="Arial" w:hAnsi="Arial" w:cs="Arial"/>
          <w:bCs/>
          <w:sz w:val="22"/>
          <w:szCs w:val="22"/>
        </w:rPr>
      </w:pPr>
      <w:r>
        <w:rPr>
          <w:rFonts w:ascii="Arial" w:hAnsi="Arial" w:cs="Arial"/>
          <w:bCs/>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2CCD7325" w14:textId="77777777" w:rsidR="001E5533" w:rsidRPr="001E5533" w:rsidRDefault="001E5533" w:rsidP="001E5533">
                            <w:pPr>
                              <w:rPr>
                                <w:rFonts w:ascii="Arial" w:hAnsi="Arial" w:cs="Arial"/>
                                <w:sz w:val="22"/>
                                <w:szCs w:val="22"/>
                                <w:lang w:val="en-AU"/>
                              </w:rPr>
                            </w:pPr>
                            <w:r w:rsidRPr="001E5533">
                              <w:rPr>
                                <w:rFonts w:ascii="Arial" w:hAnsi="Arial" w:cs="Arial"/>
                                <w:sz w:val="22"/>
                                <w:szCs w:val="22"/>
                                <w:lang w:val="en-AU"/>
                              </w:rPr>
                              <w:t>Monitoring and surveillance of tailings storage facilities is a critical activity completed over many decades of operation, to ensure dam performance and confirm design intent. Guidance in this area is key to developing and understanding the latest practice, as well as updating older technical documents such as the 1996 ICOLD Bulletin 104 (Monitoring and Instrumentation) and 2018 ICOLD Bulletin 158 (Dam Surveillance). This paper provides a rationale for the need of an update and lifts the curtain on the approach to be taken in developing surveillance programs. It further discusses recent developments, technologies and approaches in monitoring and instrumentation and how these need to be included in an updated Bulletin and why. The paper discusses some key aspects related to, for example, integrated surveillance systems, surveillance practices and risk management, data management, roles of RTFE, EOR and ITRB in evaluating monitoring data, and suggestions for improvement of such processes. The authors make the case that such an update into a new ICOLD Bulletin is needed, accepting that ICOLD Bulletins are a high-level guidance rather than a handbook, hence certain topics may not be included. A few examples of past tailings dam failures will be discussed, where a robust integrated surveillance system implementation could have avoided unfortunate events.</w:t>
                            </w:r>
                          </w:p>
                          <w:p w14:paraId="3A2929C4" w14:textId="02440B93" w:rsidR="006C6E71" w:rsidRPr="006C6E71" w:rsidRDefault="006C6E71" w:rsidP="008D4F02">
                            <w:pPr>
                              <w:rPr>
                                <w:rFonts w:ascii="Arial" w:hAnsi="Arial" w:cs="Arial"/>
                                <w:sz w:val="22"/>
                                <w:szCs w:val="22"/>
                              </w:rPr>
                            </w:pPr>
                          </w:p>
                          <w:p w14:paraId="7369B4D6" w14:textId="77777777" w:rsidR="006C6E71" w:rsidRPr="006C6E71" w:rsidRDefault="006C6E71" w:rsidP="008D4F02">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yH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jk7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wsfchzkCAACEBAAADgAAAAAAAAAAAAAAAAAu&#10;AgAAZHJzL2Uyb0RvYy54bWxQSwECLQAUAAYACAAAACEAY7iYj9cAAAAIAQAADwAAAAAAAAAAAAAA&#10;AACTBAAAZHJzL2Rvd25yZXYueG1sUEsFBgAAAAAEAAQA8wAAAJcFAAAAAA==&#10;" fillcolor="white [3201]" strokeweight=".5pt">
                <v:textbox>
                  <w:txbxContent>
                    <w:p w14:paraId="2CCD7325" w14:textId="77777777" w:rsidR="001E5533" w:rsidRPr="001E5533" w:rsidRDefault="001E5533" w:rsidP="001E5533">
                      <w:pPr>
                        <w:rPr>
                          <w:rFonts w:ascii="Arial" w:hAnsi="Arial" w:cs="Arial"/>
                          <w:sz w:val="22"/>
                          <w:szCs w:val="22"/>
                          <w:lang w:val="en-AU"/>
                        </w:rPr>
                      </w:pPr>
                      <w:r w:rsidRPr="001E5533">
                        <w:rPr>
                          <w:rFonts w:ascii="Arial" w:hAnsi="Arial" w:cs="Arial"/>
                          <w:sz w:val="22"/>
                          <w:szCs w:val="22"/>
                          <w:lang w:val="en-AU"/>
                        </w:rPr>
                        <w:t>Monitoring and surveillance of tailings storage facilities is a critical activity completed over many decades of operation, to ensure dam performance and confirm design intent. Guidance in this area is key to developing and understanding the latest practice, as well as updating older technical documents such as the 1996 ICOLD Bulletin 104 (Monitoring and Instrumentation) and 2018 ICOLD Bulletin 158 (Dam Surveillance). This paper provides a rationale for the need of an update and lifts the curtain on the approach to be taken in developing surveillance programs. It further discusses recent developments, technologies and approaches in monitoring and instrumentation and how these need to be included in an updated Bulletin and why. The paper discusses some key aspects related to, for example, integrated surveillance systems, surveillance practices and risk management, data management, roles of RTFE, EOR and ITRB in evaluating monitoring data, and suggestions for improvement of such processes. The authors make the case that such an update into a new ICOLD Bulletin is needed, accepting that ICOLD Bulletins are a high-level guidance rather than a handbook, hence certain topics may not be included. A few examples of past tailings dam failures will be discussed, where a robust integrated surveillance system implementation could have avoided unfortunate events.</w:t>
                      </w:r>
                    </w:p>
                    <w:p w14:paraId="3A2929C4" w14:textId="02440B93" w:rsidR="006C6E71" w:rsidRPr="006C6E71" w:rsidRDefault="006C6E71" w:rsidP="008D4F02">
                      <w:pPr>
                        <w:rPr>
                          <w:rFonts w:ascii="Arial" w:hAnsi="Arial" w:cs="Arial"/>
                          <w:sz w:val="22"/>
                          <w:szCs w:val="22"/>
                        </w:rPr>
                      </w:pPr>
                    </w:p>
                    <w:p w14:paraId="7369B4D6" w14:textId="77777777" w:rsidR="006C6E71" w:rsidRPr="006C6E71" w:rsidRDefault="006C6E71" w:rsidP="008D4F02">
                      <w:pPr>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3F763997" w14:textId="77777777" w:rsidR="00DD4F2E" w:rsidRPr="00DD4F2E" w:rsidRDefault="00DD4F2E" w:rsidP="00DD4F2E">
                            <w:pPr>
                              <w:rPr>
                                <w:rFonts w:ascii="Arial" w:hAnsi="Arial" w:cs="Arial"/>
                                <w:sz w:val="22"/>
                                <w:szCs w:val="22"/>
                                <w:lang w:val="en-AU"/>
                              </w:rPr>
                            </w:pPr>
                            <w:r w:rsidRPr="00DD4F2E">
                              <w:rPr>
                                <w:rFonts w:ascii="Arial" w:hAnsi="Arial" w:cs="Arial"/>
                                <w:sz w:val="22"/>
                                <w:szCs w:val="22"/>
                                <w:lang w:val="es-ES"/>
                              </w:rPr>
                              <w:t>El monitoreo y la vigilancia de las instalaciones de almacenamiento de relaves es una actividad crítica que se completa a lo largo de muchas décadas de operación para garantizar el rendimiento de la presa y confirmar la intención del diseño. La orientación en esta área es clave para desarrollar y comprender las prácticas más recientes, así como para actualizar documentos técnicos anteriores, como el Boletín ICOLD 104 de 1996 (Monitoreo e Instrumentación) y el Boletín ICOLD 158 de 2018 (Vigilancia de Presas). Este documento proporciona una justificación para la necesidad de una actualización y revela el enfoque que se debe adoptar en el desarrollo de programas de vigilancia. Además, analiza los desarrollos, tecnologías y enfoques recientes en monitoreo e instrumentación, y cómo estos deben incluirse en un Boletín actualizado y por qué. El documento analiza algunos aspectos clave relacionados, por ejemplo, con los sistemas integrados de vigilancia, las prácticas de vigilancia y la gestión de riesgos, la gestión de datos, los roles de RTFE, EOR e ITRB en la evaluación de los datos de monitoreo, y sugerencias para la mejora de dichos procesos. Los autores argumentan que dicha actualización en un nuevo Boletín ICOLD es necesaria, aceptando que los Boletines ICOLD constituyen una guía de alto nivel y no un manual, por lo que ciertos temas podrían no estar incluidos. Se analizarán algunos ejemplos de fallas pasadas de presas de relaves, donde la implementación de un sistema de vigilancia integrado y robusto podría haber evitado eventos desafortunados.</w:t>
                            </w:r>
                          </w:p>
                          <w:p w14:paraId="5E0185D3" w14:textId="77777777" w:rsidR="006176B1" w:rsidRPr="006C6E71" w:rsidRDefault="006176B1" w:rsidP="006176B1">
                            <w:pPr>
                              <w:rPr>
                                <w:rFonts w:ascii="Arial" w:hAnsi="Arial" w:cs="Arial"/>
                                <w:sz w:val="22"/>
                                <w:szCs w:val="22"/>
                              </w:rPr>
                            </w:pPr>
                          </w:p>
                          <w:p w14:paraId="7B77D9E6" w14:textId="77777777" w:rsidR="006176B1" w:rsidRPr="006C6E71" w:rsidRDefault="006176B1" w:rsidP="006176B1">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p75OgIAAIQ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" fillcolor="white [3201]" strokeweight=".5pt">
                <v:textbox>
                  <w:txbxContent>
                    <w:p w14:paraId="3F763997" w14:textId="77777777" w:rsidR="00DD4F2E" w:rsidRPr="00DD4F2E" w:rsidRDefault="00DD4F2E" w:rsidP="00DD4F2E">
                      <w:pPr>
                        <w:rPr>
                          <w:rFonts w:ascii="Arial" w:hAnsi="Arial" w:cs="Arial"/>
                          <w:sz w:val="22"/>
                          <w:szCs w:val="22"/>
                          <w:lang w:val="en-AU"/>
                        </w:rPr>
                      </w:pPr>
                      <w:r w:rsidRPr="00DD4F2E">
                        <w:rPr>
                          <w:rFonts w:ascii="Arial" w:hAnsi="Arial" w:cs="Arial"/>
                          <w:sz w:val="22"/>
                          <w:szCs w:val="22"/>
                          <w:lang w:val="es-ES"/>
                        </w:rPr>
                        <w:t>El monitoreo y la vigilancia de las instalaciones de almacenamiento de relaves es una actividad crítica que se completa a lo largo de muchas décadas de operación para garantizar el rendimiento de la presa y confirmar la intención del diseño. La orientación en esta área es clave para desarrollar y comprender las prácticas más recientes, así como para actualizar documentos técnicos anteriores, como el Boletín ICOLD 104 de 1996 (Monitoreo e Instrumentación) y el Boletín ICOLD 158 de 2018 (Vigilancia de Presas). Este documento proporciona una justificación para la necesidad de una actualización y revela el enfoque que se debe adoptar en el desarrollo de programas de vigilancia. Además, analiza los desarrollos, tecnologías y enfoques recientes en monitoreo e instrumentación, y cómo estos deben incluirse en un Boletín actualizado y por qué. El documento analiza algunos aspectos clave relacionados, por ejemplo, con los sistemas integrados de vigilancia, las prácticas de vigilancia y la gestión de riesgos, la gestión de datos, los roles de RTFE, EOR e ITRB en la evaluación de los datos de monitoreo, y sugerencias para la mejora de dichos procesos. Los autores argumentan que dicha actualización en un nuevo Boletín ICOLD es necesaria, aceptando que los Boletines ICOLD constituyen una guía de alto nivel y no un manual, por lo que ciertos temas podrían no estar incluidos. Se analizarán algunos ejemplos de fallas pasadas de presas de relaves, donde la implementación de un sistema de vigilancia integrado y robusto podría haber evitado eventos desafortunados.</w:t>
                      </w:r>
                    </w:p>
                    <w:p w14:paraId="5E0185D3" w14:textId="77777777" w:rsidR="006176B1" w:rsidRPr="006C6E71" w:rsidRDefault="006176B1" w:rsidP="006176B1">
                      <w:pPr>
                        <w:rPr>
                          <w:rFonts w:ascii="Arial" w:hAnsi="Arial" w:cs="Arial"/>
                          <w:sz w:val="22"/>
                          <w:szCs w:val="22"/>
                        </w:rPr>
                      </w:pPr>
                    </w:p>
                    <w:p w14:paraId="7B77D9E6" w14:textId="77777777" w:rsidR="006176B1" w:rsidRPr="006C6E71" w:rsidRDefault="006176B1" w:rsidP="006176B1">
                      <w:pPr>
                        <w:rPr>
                          <w:rFonts w:ascii="Arial" w:hAnsi="Arial" w:cs="Arial"/>
                          <w:sz w:val="22"/>
                          <w:szCs w:val="22"/>
                        </w:rPr>
                      </w:pP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even" r:id="rId7"/>
      <w:headerReference w:type="default" r:id="rId8"/>
      <w:footerReference w:type="even" r:id="rId9"/>
      <w:footerReference w:type="default" r:id="rId10"/>
      <w:headerReference w:type="first" r:id="rId11"/>
      <w:footerReference w:type="first" r:id="rId12"/>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587C7" w14:textId="77777777" w:rsidR="00427CD3" w:rsidRDefault="00427CD3">
      <w:r>
        <w:separator/>
      </w:r>
    </w:p>
  </w:endnote>
  <w:endnote w:type="continuationSeparator" w:id="0">
    <w:p w14:paraId="03C26515" w14:textId="77777777" w:rsidR="00427CD3" w:rsidRDefault="0042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BAF9" w14:textId="77777777" w:rsidR="00DD4F2E" w:rsidRDefault="00DD4F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2CC11591" w:rsidR="00413342" w:rsidRPr="00EA6D3B" w:rsidRDefault="00DD4F2E">
                          <w:pPr>
                            <w:rPr>
                              <w:rFonts w:ascii="Arial" w:hAnsi="Arial" w:cs="Arial"/>
                              <w:sz w:val="22"/>
                              <w:szCs w:val="22"/>
                            </w:rPr>
                          </w:pPr>
                          <w:r>
                            <w:rPr>
                              <w:rFonts w:ascii="Arial" w:hAnsi="Arial" w:cs="Arial"/>
                              <w:sz w:val="22"/>
                              <w:szCs w:val="22"/>
                            </w:rPr>
                            <w:t>Caius Priscu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2CC11591" w:rsidR="00413342" w:rsidRPr="00EA6D3B" w:rsidRDefault="00DD4F2E">
                    <w:pPr>
                      <w:rPr>
                        <w:rFonts w:ascii="Arial" w:hAnsi="Arial" w:cs="Arial"/>
                        <w:sz w:val="22"/>
                        <w:szCs w:val="22"/>
                      </w:rPr>
                    </w:pPr>
                    <w:r>
                      <w:rPr>
                        <w:rFonts w:ascii="Arial" w:hAnsi="Arial" w:cs="Arial"/>
                        <w:sz w:val="22"/>
                        <w:szCs w:val="22"/>
                      </w:rPr>
                      <w:t>Caius Priscu</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03721" w14:textId="77777777" w:rsidR="00DD4F2E" w:rsidRDefault="00DD4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81C65" w14:textId="77777777" w:rsidR="00427CD3" w:rsidRDefault="00427CD3">
      <w:r>
        <w:separator/>
      </w:r>
    </w:p>
  </w:footnote>
  <w:footnote w:type="continuationSeparator" w:id="0">
    <w:p w14:paraId="2B1DAEDA" w14:textId="77777777" w:rsidR="00427CD3" w:rsidRDefault="00427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EED7" w14:textId="77777777" w:rsidR="00DD4F2E" w:rsidRDefault="00DD4F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D09F7" w14:textId="77777777" w:rsidR="00DD4F2E" w:rsidRDefault="00DD4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553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C5B90"/>
    <w:rsid w:val="003D7759"/>
    <w:rsid w:val="003E4B56"/>
    <w:rsid w:val="003E6040"/>
    <w:rsid w:val="003E6DAE"/>
    <w:rsid w:val="003F043B"/>
    <w:rsid w:val="003F25EF"/>
    <w:rsid w:val="00403C4B"/>
    <w:rsid w:val="00404EA3"/>
    <w:rsid w:val="00413342"/>
    <w:rsid w:val="00422605"/>
    <w:rsid w:val="00426CB0"/>
    <w:rsid w:val="00427CD3"/>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22D2"/>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03E"/>
    <w:rsid w:val="008E41F5"/>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1E98"/>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4F2E"/>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1DED"/>
    <w:rsid w:val="00E8693C"/>
    <w:rsid w:val="00E91A57"/>
    <w:rsid w:val="00E91E28"/>
    <w:rsid w:val="00E926CB"/>
    <w:rsid w:val="00E96CCA"/>
    <w:rsid w:val="00EA6D3B"/>
    <w:rsid w:val="00EB144C"/>
    <w:rsid w:val="00EB3279"/>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87D97"/>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249</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Theo Gerritsen</cp:lastModifiedBy>
  <cp:revision>23</cp:revision>
  <cp:lastPrinted>2025-08-10T23:03:00Z</cp:lastPrinted>
  <dcterms:created xsi:type="dcterms:W3CDTF">2025-08-10T21:12:00Z</dcterms:created>
  <dcterms:modified xsi:type="dcterms:W3CDTF">2025-10-09T05:10:00Z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